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kinsoku/>
        <w:wordWrap/>
        <w:overflowPunct/>
        <w:topLinePunct w:val="0"/>
        <w:autoSpaceDE/>
        <w:autoSpaceDN/>
        <w:bidi w:val="0"/>
        <w:adjustRightInd/>
        <w:snapToGrid/>
        <w:spacing w:line="500" w:lineRule="exact"/>
        <w:textAlignment w:val="auto"/>
        <w:rPr>
          <w:rStyle w:val="6"/>
          <w:rFonts w:hint="eastAsia" w:ascii="宋体" w:hAnsi="宋体" w:eastAsia="宋体" w:cs="宋体"/>
          <w:i w:val="0"/>
          <w:iCs w:val="0"/>
          <w:caps w:val="0"/>
          <w:color w:val="0000FF"/>
          <w:spacing w:val="0"/>
          <w:sz w:val="24"/>
          <w:szCs w:val="24"/>
          <w:highlight w:val="none"/>
          <w:u w:val="none"/>
          <w:shd w:val="clear" w:color="auto" w:fill="FFFFFF"/>
          <w:lang w:val="en-US" w:eastAsia="zh-CN"/>
        </w:rPr>
      </w:pPr>
      <w:r>
        <w:rPr>
          <w:rStyle w:val="6"/>
          <w:rFonts w:hint="eastAsia" w:ascii="宋体" w:hAnsi="宋体" w:eastAsia="宋体" w:cs="宋体"/>
          <w:i w:val="0"/>
          <w:iCs w:val="0"/>
          <w:caps w:val="0"/>
          <w:color w:val="0000FF"/>
          <w:spacing w:val="0"/>
          <w:sz w:val="24"/>
          <w:szCs w:val="24"/>
          <w:highlight w:val="none"/>
          <w:u w:val="none"/>
          <w:shd w:val="clear" w:color="auto" w:fill="FFFFFF"/>
          <w:lang w:val="en-US" w:eastAsia="zh-CN"/>
        </w:rPr>
        <w:t>附件三：</w:t>
      </w:r>
    </w:p>
    <w:p>
      <w:pPr>
        <w:pStyle w:val="2"/>
        <w:keepNext/>
        <w:keepLines/>
        <w:pageBreakBefore w:val="0"/>
        <w:widowControl w:val="0"/>
        <w:kinsoku/>
        <w:wordWrap/>
        <w:overflowPunct/>
        <w:topLinePunct w:val="0"/>
        <w:autoSpaceDE/>
        <w:autoSpaceDN/>
        <w:bidi w:val="0"/>
        <w:adjustRightInd/>
        <w:snapToGrid/>
        <w:spacing w:line="700" w:lineRule="exact"/>
        <w:ind w:firstLine="137"/>
        <w:jc w:val="center"/>
        <w:textAlignment w:val="auto"/>
        <w:rPr>
          <w:rFonts w:hint="default"/>
          <w:color w:val="auto"/>
          <w:sz w:val="36"/>
          <w:szCs w:val="36"/>
          <w:highlight w:val="none"/>
          <w:lang w:val="en-US" w:eastAsia="zh-CN"/>
        </w:rPr>
      </w:pPr>
      <w:r>
        <w:rPr>
          <w:rFonts w:hint="eastAsia"/>
          <w:color w:val="auto"/>
          <w:sz w:val="36"/>
          <w:szCs w:val="36"/>
          <w:highlight w:val="none"/>
          <w:lang w:val="en-US" w:eastAsia="zh-CN"/>
        </w:rPr>
        <w:t xml:space="preserve">  四、采购需求</w:t>
      </w:r>
    </w:p>
    <w:p>
      <w:pPr>
        <w:keepNext w:val="0"/>
        <w:keepLines w:val="0"/>
        <w:pageBreakBefore w:val="0"/>
        <w:widowControl/>
        <w:suppressLineNumbers w:val="0"/>
        <w:kinsoku/>
        <w:wordWrap/>
        <w:overflowPunct/>
        <w:topLinePunct w:val="0"/>
        <w:autoSpaceDE/>
        <w:autoSpaceDN/>
        <w:bidi w:val="0"/>
        <w:adjustRightInd/>
        <w:snapToGrid/>
        <w:spacing w:line="360" w:lineRule="auto"/>
        <w:jc w:val="left"/>
        <w:textAlignment w:val="auto"/>
        <w:rPr>
          <w:rFonts w:hint="eastAsia" w:ascii="宋体" w:hAnsi="宋体" w:eastAsia="宋体" w:cs="宋体"/>
          <w:sz w:val="24"/>
          <w:szCs w:val="24"/>
        </w:rPr>
      </w:pPr>
      <w:r>
        <w:rPr>
          <w:rFonts w:hint="eastAsia" w:ascii="宋体" w:hAnsi="宋体" w:eastAsia="宋体" w:cs="宋体"/>
          <w:color w:val="000000"/>
          <w:kern w:val="0"/>
          <w:sz w:val="24"/>
          <w:szCs w:val="24"/>
          <w:lang w:val="en-US" w:eastAsia="zh-CN" w:bidi="ar"/>
        </w:rPr>
        <w:t>一、</w:t>
      </w:r>
      <w:r>
        <w:rPr>
          <w:rFonts w:hint="eastAsia" w:ascii="宋体" w:hAnsi="宋体" w:eastAsia="宋体" w:cs="宋体"/>
          <w:b/>
          <w:bCs/>
          <w:color w:val="000000"/>
          <w:kern w:val="0"/>
          <w:sz w:val="24"/>
          <w:szCs w:val="24"/>
          <w:lang w:val="en-US" w:eastAsia="zh-CN" w:bidi="ar"/>
        </w:rPr>
        <w:t xml:space="preserve">采购需求总体说明 </w:t>
      </w:r>
    </w:p>
    <w:p>
      <w:pPr>
        <w:keepNext w:val="0"/>
        <w:keepLines w:val="0"/>
        <w:pageBreakBefore w:val="0"/>
        <w:widowControl/>
        <w:suppressLineNumbers w:val="0"/>
        <w:kinsoku/>
        <w:wordWrap/>
        <w:overflowPunct/>
        <w:topLinePunct w:val="0"/>
        <w:autoSpaceDE/>
        <w:autoSpaceDN/>
        <w:bidi w:val="0"/>
        <w:adjustRightInd/>
        <w:snapToGrid/>
        <w:spacing w:line="360" w:lineRule="auto"/>
        <w:ind w:firstLine="480" w:firstLineChars="200"/>
        <w:jc w:val="left"/>
        <w:textAlignment w:val="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rPr>
        <w:t>亳芜</w:t>
      </w:r>
      <w:r>
        <w:rPr>
          <w:rFonts w:hint="eastAsia" w:ascii="宋体" w:hAnsi="宋体" w:eastAsia="宋体" w:cs="宋体"/>
          <w:color w:val="auto"/>
          <w:sz w:val="24"/>
          <w:szCs w:val="24"/>
          <w:highlight w:val="none"/>
          <w:lang w:val="en-US" w:eastAsia="zh-CN"/>
        </w:rPr>
        <w:t>邻里中心电梯维保单位采购项目</w:t>
      </w:r>
      <w:r>
        <w:rPr>
          <w:rFonts w:hint="eastAsia" w:ascii="宋体" w:hAnsi="宋体" w:eastAsia="宋体" w:cs="宋体"/>
          <w:color w:val="000000"/>
          <w:kern w:val="0"/>
          <w:sz w:val="24"/>
          <w:szCs w:val="24"/>
          <w:lang w:val="en-US" w:eastAsia="zh-CN" w:bidi="ar"/>
        </w:rPr>
        <w:t>，</w:t>
      </w:r>
      <w:r>
        <w:rPr>
          <w:rFonts w:hint="eastAsia" w:ascii="宋体" w:hAnsi="宋体" w:eastAsia="宋体" w:cs="宋体"/>
          <w:color w:val="auto"/>
          <w:sz w:val="24"/>
          <w:szCs w:val="24"/>
          <w:highlight w:val="none"/>
        </w:rPr>
        <w:t>邻里中心项目共有13部直梯、8扶梯</w:t>
      </w:r>
      <w:r>
        <w:rPr>
          <w:rFonts w:hint="eastAsia" w:ascii="宋体" w:hAnsi="宋体" w:eastAsia="宋体" w:cs="宋体"/>
          <w:color w:val="auto"/>
          <w:sz w:val="24"/>
          <w:szCs w:val="24"/>
          <w:highlight w:val="none"/>
          <w:lang w:eastAsia="zh-CN"/>
        </w:rPr>
        <w:t>，</w:t>
      </w:r>
      <w:r>
        <w:rPr>
          <w:rFonts w:hint="eastAsia" w:ascii="宋体" w:hAnsi="宋体" w:eastAsia="宋体" w:cs="宋体"/>
          <w:color w:val="auto"/>
          <w:sz w:val="24"/>
          <w:szCs w:val="24"/>
          <w:highlight w:val="none"/>
          <w:lang w:val="en-US" w:eastAsia="zh-CN"/>
        </w:rPr>
        <w:t>本次采购服务仅启用13</w:t>
      </w:r>
      <w:r>
        <w:rPr>
          <w:rFonts w:hint="eastAsia" w:ascii="宋体" w:hAnsi="宋体" w:eastAsia="宋体" w:cs="宋体"/>
          <w:color w:val="auto"/>
          <w:sz w:val="24"/>
          <w:szCs w:val="24"/>
          <w:highlight w:val="none"/>
        </w:rPr>
        <w:t>部直梯</w:t>
      </w:r>
      <w:r>
        <w:rPr>
          <w:rFonts w:hint="eastAsia" w:ascii="宋体" w:hAnsi="宋体" w:eastAsia="宋体" w:cs="宋体"/>
          <w:color w:val="auto"/>
          <w:sz w:val="24"/>
          <w:szCs w:val="24"/>
          <w:highlight w:val="none"/>
          <w:lang w:eastAsia="zh-CN"/>
        </w:rPr>
        <w:t>，</w:t>
      </w:r>
      <w:r>
        <w:rPr>
          <w:rFonts w:hint="eastAsia" w:ascii="宋体" w:hAnsi="宋体" w:eastAsia="宋体" w:cs="宋体"/>
          <w:color w:val="auto"/>
          <w:sz w:val="24"/>
          <w:szCs w:val="24"/>
          <w:highlight w:val="none"/>
        </w:rPr>
        <w:t>电梯品牌为：日立电梯</w:t>
      </w:r>
      <w:r>
        <w:rPr>
          <w:rFonts w:hint="eastAsia" w:ascii="宋体" w:hAnsi="宋体" w:eastAsia="宋体" w:cs="宋体"/>
          <w:color w:val="auto"/>
          <w:sz w:val="24"/>
          <w:szCs w:val="24"/>
          <w:highlight w:val="none"/>
          <w:lang w:eastAsia="zh-CN"/>
        </w:rPr>
        <w:t>。</w:t>
      </w:r>
      <w:r>
        <w:rPr>
          <w:rFonts w:hint="eastAsia" w:ascii="宋体" w:hAnsi="宋体" w:eastAsia="宋体" w:cs="宋体"/>
          <w:color w:val="auto"/>
          <w:sz w:val="24"/>
          <w:szCs w:val="24"/>
          <w:highlight w:val="none"/>
          <w:lang w:val="en-US" w:eastAsia="zh-CN"/>
        </w:rPr>
        <w:t>服务期一年。</w:t>
      </w:r>
    </w:p>
    <w:p>
      <w:pPr>
        <w:keepNext w:val="0"/>
        <w:keepLines w:val="0"/>
        <w:pageBreakBefore w:val="0"/>
        <w:widowControl/>
        <w:suppressLineNumbers w:val="0"/>
        <w:kinsoku/>
        <w:wordWrap/>
        <w:overflowPunct/>
        <w:topLinePunct w:val="0"/>
        <w:autoSpaceDE/>
        <w:autoSpaceDN/>
        <w:bidi w:val="0"/>
        <w:adjustRightInd/>
        <w:snapToGrid/>
        <w:spacing w:line="360" w:lineRule="auto"/>
        <w:ind w:firstLine="480" w:firstLineChars="200"/>
        <w:jc w:val="left"/>
        <w:textAlignment w:val="auto"/>
        <w:rPr>
          <w:rFonts w:hint="eastAsia" w:ascii="宋体" w:hAnsi="宋体" w:eastAsia="宋体" w:cs="宋体"/>
          <w:sz w:val="24"/>
          <w:szCs w:val="24"/>
        </w:rPr>
      </w:pPr>
      <w:r>
        <w:rPr>
          <w:rFonts w:hint="eastAsia" w:ascii="宋体" w:hAnsi="宋体" w:eastAsia="宋体" w:cs="宋体"/>
          <w:color w:val="auto"/>
          <w:sz w:val="24"/>
          <w:szCs w:val="24"/>
          <w:highlight w:val="none"/>
        </w:rPr>
        <w:t>维保方式为中包，服务费用不超过3400元/台/年，500元以下零配件由维保单位承担，签订合同时由中标单位提供配件清单价格表，作为合同组成部分，</w:t>
      </w:r>
      <w:r>
        <w:rPr>
          <w:rFonts w:hint="eastAsia" w:ascii="宋体" w:hAnsi="宋体" w:eastAsia="宋体" w:cs="宋体"/>
          <w:color w:val="000000"/>
          <w:kern w:val="0"/>
          <w:sz w:val="24"/>
          <w:szCs w:val="24"/>
          <w:lang w:val="en-US" w:eastAsia="zh-CN" w:bidi="ar"/>
        </w:rPr>
        <w:t>具体要求询价文件。</w:t>
      </w:r>
    </w:p>
    <w:p>
      <w:pPr>
        <w:keepNext w:val="0"/>
        <w:keepLines w:val="0"/>
        <w:pageBreakBefore w:val="0"/>
        <w:widowControl/>
        <w:suppressLineNumbers w:val="0"/>
        <w:kinsoku/>
        <w:wordWrap/>
        <w:overflowPunct/>
        <w:topLinePunct w:val="0"/>
        <w:autoSpaceDE/>
        <w:autoSpaceDN/>
        <w:bidi w:val="0"/>
        <w:adjustRightInd/>
        <w:snapToGrid/>
        <w:spacing w:line="360" w:lineRule="auto"/>
        <w:jc w:val="left"/>
        <w:textAlignment w:val="auto"/>
        <w:rPr>
          <w:rFonts w:hint="eastAsia" w:ascii="宋体" w:hAnsi="宋体" w:eastAsia="宋体" w:cs="宋体"/>
          <w:sz w:val="24"/>
          <w:szCs w:val="24"/>
          <w:highlight w:val="yellow"/>
        </w:rPr>
      </w:pPr>
      <w:r>
        <w:rPr>
          <w:rFonts w:hint="eastAsia" w:ascii="宋体" w:hAnsi="宋体" w:eastAsia="宋体" w:cs="宋体"/>
          <w:color w:val="000000"/>
          <w:kern w:val="0"/>
          <w:sz w:val="24"/>
          <w:szCs w:val="24"/>
          <w:highlight w:val="yellow"/>
          <w:lang w:val="en-US" w:eastAsia="zh-CN" w:bidi="ar"/>
        </w:rPr>
        <w:t>二、</w:t>
      </w:r>
      <w:r>
        <w:rPr>
          <w:rFonts w:hint="eastAsia" w:ascii="宋体" w:hAnsi="宋体" w:eastAsia="宋体" w:cs="宋体"/>
          <w:b/>
          <w:bCs/>
          <w:color w:val="000000"/>
          <w:kern w:val="0"/>
          <w:sz w:val="24"/>
          <w:szCs w:val="24"/>
          <w:highlight w:val="yellow"/>
          <w:lang w:val="en-US" w:eastAsia="zh-CN" w:bidi="ar"/>
        </w:rPr>
        <w:t xml:space="preserve">采购内容及技术要求 </w:t>
      </w:r>
    </w:p>
    <w:p>
      <w:pPr>
        <w:keepNext w:val="0"/>
        <w:keepLines w:val="0"/>
        <w:pageBreakBefore w:val="0"/>
        <w:kinsoku/>
        <w:wordWrap/>
        <w:overflowPunct/>
        <w:topLinePunct w:val="0"/>
        <w:autoSpaceDE/>
        <w:autoSpaceDN/>
        <w:bidi w:val="0"/>
        <w:adjustRightInd/>
        <w:snapToGrid/>
        <w:spacing w:line="360" w:lineRule="auto"/>
        <w:jc w:val="left"/>
        <w:textAlignment w:val="auto"/>
        <w:rPr>
          <w:rFonts w:hint="eastAsia"/>
          <w:color w:val="auto"/>
          <w:szCs w:val="21"/>
          <w:highlight w:val="none"/>
          <w:lang w:val="en-US" w:eastAsia="zh-CN"/>
        </w:rPr>
      </w:pPr>
      <w:r>
        <w:rPr>
          <w:rFonts w:hint="eastAsia" w:ascii="宋体" w:hAnsi="宋体" w:eastAsia="宋体" w:cs="宋体"/>
          <w:color w:val="auto"/>
          <w:sz w:val="24"/>
          <w:szCs w:val="24"/>
          <w:highlight w:val="none"/>
        </w:rPr>
        <w:t>亳芜</w:t>
      </w:r>
      <w:r>
        <w:rPr>
          <w:rFonts w:hint="eastAsia" w:ascii="宋体" w:hAnsi="宋体" w:eastAsia="宋体" w:cs="宋体"/>
          <w:color w:val="auto"/>
          <w:sz w:val="24"/>
          <w:szCs w:val="24"/>
          <w:highlight w:val="none"/>
          <w:lang w:val="en-US" w:eastAsia="zh-CN"/>
        </w:rPr>
        <w:t>邻里中心电梯维保服务</w:t>
      </w:r>
      <w:r>
        <w:rPr>
          <w:rFonts w:hint="eastAsia" w:ascii="宋体" w:hAnsi="宋体" w:eastAsia="宋体" w:cs="宋体"/>
          <w:color w:val="auto"/>
          <w:sz w:val="24"/>
          <w:szCs w:val="24"/>
          <w:highlight w:val="none"/>
        </w:rPr>
        <w:t>13部直梯维保</w:t>
      </w:r>
      <w:r>
        <w:rPr>
          <w:rFonts w:hint="eastAsia" w:ascii="宋体" w:hAnsi="宋体" w:cs="宋体"/>
          <w:color w:val="auto"/>
          <w:sz w:val="24"/>
          <w:szCs w:val="24"/>
          <w:highlight w:val="none"/>
          <w:lang w:eastAsia="zh-CN"/>
        </w:rPr>
        <w:t>，</w:t>
      </w:r>
      <w:r>
        <w:rPr>
          <w:rFonts w:hint="eastAsia" w:ascii="宋体" w:hAnsi="宋体" w:cs="宋体"/>
          <w:color w:val="auto"/>
          <w:sz w:val="24"/>
          <w:szCs w:val="24"/>
          <w:highlight w:val="yellow"/>
          <w:lang w:val="en-US" w:eastAsia="zh-CN"/>
        </w:rPr>
        <w:t>符合行业规范，配合完成日常年检，以及各类实验等。</w:t>
      </w:r>
    </w:p>
    <w:p>
      <w:pPr>
        <w:keepNext w:val="0"/>
        <w:keepLines w:val="0"/>
        <w:widowControl/>
        <w:numPr>
          <w:ilvl w:val="0"/>
          <w:numId w:val="0"/>
        </w:numPr>
        <w:suppressLineNumbers w:val="0"/>
        <w:jc w:val="left"/>
        <w:rPr>
          <w:rFonts w:hint="eastAsia" w:ascii="宋体" w:hAnsi="宋体" w:eastAsia="宋体" w:cs="宋体"/>
          <w:b/>
          <w:bCs/>
          <w:color w:val="000000"/>
          <w:kern w:val="0"/>
          <w:sz w:val="24"/>
          <w:szCs w:val="24"/>
          <w:highlight w:val="yellow"/>
          <w:lang w:val="en-US" w:eastAsia="zh-CN" w:bidi="ar"/>
        </w:rPr>
      </w:pPr>
      <w:r>
        <w:rPr>
          <w:rFonts w:hint="eastAsia" w:ascii="宋体" w:hAnsi="宋体" w:cs="宋体"/>
          <w:b/>
          <w:bCs/>
          <w:color w:val="000000"/>
          <w:kern w:val="0"/>
          <w:sz w:val="24"/>
          <w:szCs w:val="24"/>
          <w:highlight w:val="yellow"/>
          <w:lang w:val="en-US" w:eastAsia="zh-CN" w:bidi="ar"/>
        </w:rPr>
        <w:t>三、</w:t>
      </w:r>
      <w:r>
        <w:rPr>
          <w:rFonts w:hint="eastAsia" w:ascii="宋体" w:hAnsi="宋体" w:eastAsia="宋体" w:cs="宋体"/>
          <w:b/>
          <w:bCs/>
          <w:color w:val="000000"/>
          <w:kern w:val="0"/>
          <w:sz w:val="24"/>
          <w:szCs w:val="24"/>
          <w:highlight w:val="yellow"/>
          <w:lang w:val="en-US" w:eastAsia="zh-CN" w:bidi="ar"/>
        </w:rPr>
        <w:t xml:space="preserve">维修保养服务内容： </w:t>
      </w:r>
    </w:p>
    <w:tbl>
      <w:tblPr>
        <w:tblStyle w:val="4"/>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507"/>
        <w:gridCol w:w="6484"/>
        <w:gridCol w:w="161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6" w:hRule="atLeast"/>
        </w:trPr>
        <w:tc>
          <w:tcPr>
            <w:tcW w:w="1507" w:type="dxa"/>
            <w:noWrap w:val="0"/>
            <w:vAlign w:val="center"/>
          </w:tcPr>
          <w:p>
            <w:pPr>
              <w:keepNext w:val="0"/>
              <w:keepLines w:val="0"/>
              <w:pageBreakBefore w:val="0"/>
              <w:widowControl/>
              <w:numPr>
                <w:ilvl w:val="0"/>
                <w:numId w:val="0"/>
              </w:numPr>
              <w:suppressLineNumbers w:val="0"/>
              <w:kinsoku/>
              <w:wordWrap/>
              <w:overflowPunct/>
              <w:topLinePunct w:val="0"/>
              <w:autoSpaceDE/>
              <w:autoSpaceDN/>
              <w:bidi w:val="0"/>
              <w:adjustRightInd/>
              <w:snapToGrid/>
              <w:spacing w:line="360" w:lineRule="auto"/>
              <w:jc w:val="center"/>
              <w:textAlignment w:val="auto"/>
              <w:rPr>
                <w:rFonts w:hint="eastAsia" w:ascii="宋体" w:hAnsi="宋体" w:eastAsia="宋体" w:cs="宋体"/>
                <w:b/>
                <w:bCs/>
                <w:color w:val="000000"/>
                <w:kern w:val="0"/>
                <w:sz w:val="24"/>
                <w:szCs w:val="24"/>
                <w:highlight w:val="yellow"/>
                <w:vertAlign w:val="baseline"/>
                <w:lang w:val="en-US" w:eastAsia="zh-CN" w:bidi="ar"/>
              </w:rPr>
            </w:pPr>
            <w:r>
              <w:rPr>
                <w:rFonts w:hint="eastAsia" w:ascii="宋体" w:hAnsi="宋体" w:eastAsia="宋体" w:cs="宋体"/>
                <w:sz w:val="24"/>
                <w:szCs w:val="24"/>
              </w:rPr>
              <w:t>服务项目</w:t>
            </w:r>
          </w:p>
        </w:tc>
        <w:tc>
          <w:tcPr>
            <w:tcW w:w="6484" w:type="dxa"/>
            <w:noWrap w:val="0"/>
            <w:vAlign w:val="top"/>
          </w:tcPr>
          <w:p>
            <w:pPr>
              <w:keepNext w:val="0"/>
              <w:keepLines w:val="0"/>
              <w:pageBreakBefore w:val="0"/>
              <w:widowControl/>
              <w:numPr>
                <w:ilvl w:val="0"/>
                <w:numId w:val="0"/>
              </w:numPr>
              <w:suppressLineNumbers w:val="0"/>
              <w:kinsoku/>
              <w:wordWrap/>
              <w:overflowPunct/>
              <w:topLinePunct w:val="0"/>
              <w:autoSpaceDE/>
              <w:autoSpaceDN/>
              <w:bidi w:val="0"/>
              <w:adjustRightInd/>
              <w:snapToGrid/>
              <w:spacing w:line="360" w:lineRule="auto"/>
              <w:jc w:val="center"/>
              <w:textAlignment w:val="auto"/>
              <w:rPr>
                <w:rFonts w:hint="eastAsia" w:ascii="宋体" w:hAnsi="宋体" w:eastAsia="宋体" w:cs="宋体"/>
                <w:b/>
                <w:bCs/>
                <w:color w:val="000000"/>
                <w:kern w:val="0"/>
                <w:sz w:val="24"/>
                <w:szCs w:val="24"/>
                <w:highlight w:val="yellow"/>
                <w:vertAlign w:val="baseline"/>
                <w:lang w:val="en-US" w:eastAsia="zh-CN" w:bidi="ar"/>
              </w:rPr>
            </w:pPr>
            <w:r>
              <w:rPr>
                <w:rFonts w:hint="eastAsia" w:ascii="宋体" w:hAnsi="宋体" w:eastAsia="宋体" w:cs="宋体"/>
                <w:b w:val="0"/>
                <w:bCs w:val="0"/>
                <w:color w:val="000000"/>
                <w:kern w:val="0"/>
                <w:sz w:val="24"/>
                <w:szCs w:val="24"/>
                <w:highlight w:val="none"/>
                <w:vertAlign w:val="baseline"/>
                <w:lang w:val="en-US" w:eastAsia="zh-CN" w:bidi="ar"/>
              </w:rPr>
              <w:t>服务要求</w:t>
            </w:r>
          </w:p>
        </w:tc>
        <w:tc>
          <w:tcPr>
            <w:tcW w:w="1610" w:type="dxa"/>
            <w:noWrap w:val="0"/>
            <w:vAlign w:val="top"/>
          </w:tcPr>
          <w:p>
            <w:pPr>
              <w:keepNext w:val="0"/>
              <w:keepLines w:val="0"/>
              <w:pageBreakBefore w:val="0"/>
              <w:widowControl/>
              <w:numPr>
                <w:ilvl w:val="0"/>
                <w:numId w:val="0"/>
              </w:numPr>
              <w:suppressLineNumbers w:val="0"/>
              <w:kinsoku/>
              <w:wordWrap/>
              <w:overflowPunct/>
              <w:topLinePunct w:val="0"/>
              <w:autoSpaceDE/>
              <w:autoSpaceDN/>
              <w:bidi w:val="0"/>
              <w:adjustRightInd/>
              <w:snapToGrid/>
              <w:spacing w:line="360" w:lineRule="auto"/>
              <w:jc w:val="center"/>
              <w:textAlignment w:val="auto"/>
              <w:rPr>
                <w:rFonts w:hint="eastAsia" w:ascii="宋体" w:hAnsi="宋体" w:eastAsia="宋体" w:cs="宋体"/>
                <w:b/>
                <w:bCs/>
                <w:color w:val="000000"/>
                <w:kern w:val="0"/>
                <w:sz w:val="24"/>
                <w:szCs w:val="24"/>
                <w:highlight w:val="yellow"/>
                <w:vertAlign w:val="baseline"/>
                <w:lang w:val="en-US" w:eastAsia="zh-CN" w:bidi="ar"/>
              </w:rPr>
            </w:pPr>
            <w:r>
              <w:rPr>
                <w:rFonts w:hint="eastAsia" w:ascii="宋体" w:hAnsi="宋体" w:eastAsia="宋体" w:cs="宋体"/>
                <w:b w:val="0"/>
                <w:bCs w:val="0"/>
                <w:color w:val="000000"/>
                <w:kern w:val="0"/>
                <w:sz w:val="24"/>
                <w:szCs w:val="24"/>
                <w:highlight w:val="none"/>
                <w:vertAlign w:val="baseline"/>
                <w:lang w:val="en-US" w:eastAsia="zh-CN" w:bidi="ar"/>
              </w:rPr>
              <w:t>全包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44" w:hRule="atLeast"/>
        </w:trPr>
        <w:tc>
          <w:tcPr>
            <w:tcW w:w="1507" w:type="dxa"/>
            <w:noWrap w:val="0"/>
            <w:vAlign w:val="center"/>
          </w:tcPr>
          <w:p>
            <w:pPr>
              <w:keepNext w:val="0"/>
              <w:keepLines w:val="0"/>
              <w:pageBreakBefore w:val="0"/>
              <w:widowControl/>
              <w:numPr>
                <w:ilvl w:val="0"/>
                <w:numId w:val="0"/>
              </w:numPr>
              <w:suppressLineNumbers w:val="0"/>
              <w:kinsoku/>
              <w:wordWrap/>
              <w:overflowPunct/>
              <w:topLinePunct w:val="0"/>
              <w:autoSpaceDE/>
              <w:autoSpaceDN/>
              <w:bidi w:val="0"/>
              <w:adjustRightInd/>
              <w:snapToGrid/>
              <w:spacing w:line="360" w:lineRule="auto"/>
              <w:jc w:val="center"/>
              <w:textAlignment w:val="auto"/>
              <w:rPr>
                <w:rFonts w:hint="eastAsia" w:ascii="宋体" w:hAnsi="宋体" w:eastAsia="宋体" w:cs="宋体"/>
                <w:b/>
                <w:bCs/>
                <w:color w:val="000000"/>
                <w:kern w:val="0"/>
                <w:sz w:val="24"/>
                <w:szCs w:val="24"/>
                <w:highlight w:val="yellow"/>
                <w:vertAlign w:val="baseline"/>
                <w:lang w:val="en-US" w:eastAsia="zh-CN" w:bidi="ar"/>
              </w:rPr>
            </w:pPr>
            <w:r>
              <w:rPr>
                <w:rFonts w:hint="eastAsia" w:ascii="宋体" w:hAnsi="宋体" w:eastAsia="宋体" w:cs="宋体"/>
                <w:sz w:val="24"/>
                <w:szCs w:val="24"/>
              </w:rPr>
              <w:t>保养</w:t>
            </w:r>
          </w:p>
        </w:tc>
        <w:tc>
          <w:tcPr>
            <w:tcW w:w="6484" w:type="dxa"/>
            <w:noWrap w:val="0"/>
            <w:vAlign w:val="center"/>
          </w:tcPr>
          <w:p>
            <w:pPr>
              <w:keepNext w:val="0"/>
              <w:keepLines w:val="0"/>
              <w:pageBreakBefore w:val="0"/>
              <w:widowControl/>
              <w:numPr>
                <w:ilvl w:val="0"/>
                <w:numId w:val="0"/>
              </w:numPr>
              <w:suppressLineNumbers w:val="0"/>
              <w:kinsoku/>
              <w:wordWrap/>
              <w:overflowPunct/>
              <w:topLinePunct w:val="0"/>
              <w:autoSpaceDE/>
              <w:autoSpaceDN/>
              <w:bidi w:val="0"/>
              <w:adjustRightInd/>
              <w:snapToGrid/>
              <w:spacing w:line="360" w:lineRule="auto"/>
              <w:jc w:val="both"/>
              <w:textAlignment w:val="auto"/>
              <w:rPr>
                <w:rFonts w:hint="eastAsia" w:ascii="宋体" w:hAnsi="宋体" w:eastAsia="宋体" w:cs="宋体"/>
                <w:b/>
                <w:bCs/>
                <w:color w:val="000000"/>
                <w:kern w:val="0"/>
                <w:sz w:val="24"/>
                <w:szCs w:val="24"/>
                <w:highlight w:val="yellow"/>
                <w:vertAlign w:val="baseline"/>
                <w:lang w:val="en-US" w:eastAsia="zh-CN" w:bidi="ar"/>
              </w:rPr>
            </w:pPr>
            <w:r>
              <w:rPr>
                <w:rFonts w:hint="eastAsia" w:ascii="宋体" w:hAnsi="宋体" w:eastAsia="宋体" w:cs="宋体"/>
                <w:sz w:val="24"/>
                <w:szCs w:val="24"/>
              </w:rPr>
              <w:t>按国家行业标准和保养规范对电梯设备进行全面保养服务（每月 2 次）；每部电梯月故障率不得大于 1 次。对有运行异常的电梯立即排查故障并及时解决，杜绝电梯困人事件发生。</w:t>
            </w:r>
          </w:p>
        </w:tc>
        <w:tc>
          <w:tcPr>
            <w:tcW w:w="1610" w:type="dxa"/>
            <w:noWrap w:val="0"/>
            <w:vAlign w:val="top"/>
          </w:tcPr>
          <w:p>
            <w:pPr>
              <w:keepNext w:val="0"/>
              <w:keepLines w:val="0"/>
              <w:pageBreakBefore w:val="0"/>
              <w:widowControl/>
              <w:numPr>
                <w:ilvl w:val="0"/>
                <w:numId w:val="0"/>
              </w:numPr>
              <w:suppressLineNumbers w:val="0"/>
              <w:kinsoku/>
              <w:wordWrap/>
              <w:overflowPunct/>
              <w:topLinePunct w:val="0"/>
              <w:autoSpaceDE/>
              <w:autoSpaceDN/>
              <w:bidi w:val="0"/>
              <w:adjustRightInd/>
              <w:snapToGrid/>
              <w:spacing w:line="360" w:lineRule="auto"/>
              <w:jc w:val="left"/>
              <w:textAlignment w:val="auto"/>
              <w:rPr>
                <w:rFonts w:hint="eastAsia" w:ascii="宋体" w:hAnsi="宋体" w:eastAsia="宋体" w:cs="宋体"/>
                <w:b/>
                <w:bCs/>
                <w:color w:val="000000"/>
                <w:kern w:val="0"/>
                <w:sz w:val="24"/>
                <w:szCs w:val="24"/>
                <w:highlight w:val="yellow"/>
                <w:vertAlign w:val="baseli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8" w:hRule="atLeast"/>
        </w:trPr>
        <w:tc>
          <w:tcPr>
            <w:tcW w:w="1507" w:type="dxa"/>
            <w:noWrap w:val="0"/>
            <w:vAlign w:val="center"/>
          </w:tcPr>
          <w:p>
            <w:pPr>
              <w:keepNext w:val="0"/>
              <w:keepLines w:val="0"/>
              <w:pageBreakBefore w:val="0"/>
              <w:widowControl/>
              <w:numPr>
                <w:ilvl w:val="0"/>
                <w:numId w:val="0"/>
              </w:numPr>
              <w:suppressLineNumbers w:val="0"/>
              <w:kinsoku/>
              <w:wordWrap/>
              <w:overflowPunct/>
              <w:topLinePunct w:val="0"/>
              <w:autoSpaceDE/>
              <w:autoSpaceDN/>
              <w:bidi w:val="0"/>
              <w:adjustRightInd/>
              <w:snapToGrid/>
              <w:spacing w:line="360" w:lineRule="auto"/>
              <w:jc w:val="center"/>
              <w:textAlignment w:val="auto"/>
              <w:rPr>
                <w:rFonts w:hint="eastAsia" w:ascii="宋体" w:hAnsi="宋体" w:eastAsia="宋体" w:cs="宋体"/>
                <w:b/>
                <w:bCs/>
                <w:color w:val="000000"/>
                <w:kern w:val="0"/>
                <w:sz w:val="24"/>
                <w:szCs w:val="24"/>
                <w:highlight w:val="yellow"/>
                <w:vertAlign w:val="baseline"/>
                <w:lang w:val="en-US" w:eastAsia="zh-CN" w:bidi="ar"/>
              </w:rPr>
            </w:pPr>
            <w:r>
              <w:rPr>
                <w:rFonts w:hint="eastAsia" w:ascii="宋体" w:hAnsi="宋体" w:eastAsia="宋体" w:cs="宋体"/>
                <w:sz w:val="24"/>
                <w:szCs w:val="24"/>
              </w:rPr>
              <w:t>急修</w:t>
            </w:r>
          </w:p>
        </w:tc>
        <w:tc>
          <w:tcPr>
            <w:tcW w:w="6484" w:type="dxa"/>
            <w:noWrap w:val="0"/>
            <w:vAlign w:val="center"/>
          </w:tcPr>
          <w:p>
            <w:pPr>
              <w:keepNext w:val="0"/>
              <w:keepLines w:val="0"/>
              <w:pageBreakBefore w:val="0"/>
              <w:widowControl/>
              <w:numPr>
                <w:ilvl w:val="0"/>
                <w:numId w:val="0"/>
              </w:numPr>
              <w:suppressLineNumbers w:val="0"/>
              <w:kinsoku/>
              <w:wordWrap/>
              <w:overflowPunct/>
              <w:topLinePunct w:val="0"/>
              <w:autoSpaceDE/>
              <w:autoSpaceDN/>
              <w:bidi w:val="0"/>
              <w:adjustRightInd/>
              <w:snapToGrid/>
              <w:spacing w:line="360" w:lineRule="auto"/>
              <w:jc w:val="both"/>
              <w:textAlignment w:val="auto"/>
              <w:rPr>
                <w:rFonts w:hint="eastAsia" w:ascii="宋体" w:hAnsi="宋体" w:eastAsia="宋体" w:cs="宋体"/>
                <w:b/>
                <w:bCs/>
                <w:color w:val="000000"/>
                <w:kern w:val="0"/>
                <w:sz w:val="24"/>
                <w:szCs w:val="24"/>
                <w:highlight w:val="yellow"/>
                <w:vertAlign w:val="baseline"/>
                <w:lang w:val="en-US" w:eastAsia="zh-CN" w:bidi="ar"/>
              </w:rPr>
            </w:pPr>
            <w:r>
              <w:rPr>
                <w:rFonts w:hint="eastAsia" w:ascii="宋体" w:hAnsi="宋体" w:eastAsia="宋体" w:cs="宋体"/>
                <w:sz w:val="24"/>
                <w:szCs w:val="24"/>
              </w:rPr>
              <w:t>提供全天候 24 小时（含节假日） 驻点服务，紧急故障的应急处理，根据客户需要以最快速度（十分钟内）到达现场</w:t>
            </w:r>
          </w:p>
        </w:tc>
        <w:tc>
          <w:tcPr>
            <w:tcW w:w="1610" w:type="dxa"/>
            <w:noWrap w:val="0"/>
            <w:vAlign w:val="top"/>
          </w:tcPr>
          <w:p>
            <w:pPr>
              <w:keepNext w:val="0"/>
              <w:keepLines w:val="0"/>
              <w:pageBreakBefore w:val="0"/>
              <w:widowControl/>
              <w:numPr>
                <w:ilvl w:val="0"/>
                <w:numId w:val="0"/>
              </w:numPr>
              <w:suppressLineNumbers w:val="0"/>
              <w:kinsoku/>
              <w:wordWrap/>
              <w:overflowPunct/>
              <w:topLinePunct w:val="0"/>
              <w:autoSpaceDE/>
              <w:autoSpaceDN/>
              <w:bidi w:val="0"/>
              <w:adjustRightInd/>
              <w:snapToGrid/>
              <w:spacing w:line="360" w:lineRule="auto"/>
              <w:jc w:val="left"/>
              <w:textAlignment w:val="auto"/>
              <w:rPr>
                <w:rFonts w:hint="eastAsia" w:ascii="宋体" w:hAnsi="宋体" w:eastAsia="宋体" w:cs="宋体"/>
                <w:b/>
                <w:bCs/>
                <w:color w:val="000000"/>
                <w:kern w:val="0"/>
                <w:sz w:val="24"/>
                <w:szCs w:val="24"/>
                <w:highlight w:val="yellow"/>
                <w:vertAlign w:val="baseli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10" w:hRule="atLeast"/>
        </w:trPr>
        <w:tc>
          <w:tcPr>
            <w:tcW w:w="1507" w:type="dxa"/>
            <w:noWrap w:val="0"/>
            <w:vAlign w:val="center"/>
          </w:tcPr>
          <w:p>
            <w:pPr>
              <w:keepNext w:val="0"/>
              <w:keepLines w:val="0"/>
              <w:pageBreakBefore w:val="0"/>
              <w:widowControl/>
              <w:numPr>
                <w:ilvl w:val="0"/>
                <w:numId w:val="0"/>
              </w:numPr>
              <w:suppressLineNumbers w:val="0"/>
              <w:kinsoku/>
              <w:wordWrap/>
              <w:overflowPunct/>
              <w:topLinePunct w:val="0"/>
              <w:autoSpaceDE/>
              <w:autoSpaceDN/>
              <w:bidi w:val="0"/>
              <w:adjustRightInd/>
              <w:snapToGrid/>
              <w:spacing w:line="360" w:lineRule="auto"/>
              <w:jc w:val="center"/>
              <w:textAlignment w:val="auto"/>
              <w:rPr>
                <w:rFonts w:hint="eastAsia" w:ascii="宋体" w:hAnsi="宋体" w:eastAsia="宋体" w:cs="宋体"/>
                <w:b/>
                <w:bCs/>
                <w:color w:val="000000"/>
                <w:kern w:val="0"/>
                <w:sz w:val="24"/>
                <w:szCs w:val="24"/>
                <w:highlight w:val="yellow"/>
                <w:vertAlign w:val="baseline"/>
                <w:lang w:val="en-US" w:eastAsia="zh-CN" w:bidi="ar"/>
              </w:rPr>
            </w:pPr>
            <w:r>
              <w:rPr>
                <w:rFonts w:hint="eastAsia" w:ascii="宋体" w:hAnsi="宋体" w:eastAsia="宋体" w:cs="宋体"/>
                <w:sz w:val="24"/>
                <w:szCs w:val="24"/>
              </w:rPr>
              <w:t>年检</w:t>
            </w:r>
          </w:p>
        </w:tc>
        <w:tc>
          <w:tcPr>
            <w:tcW w:w="6484" w:type="dxa"/>
            <w:noWrap w:val="0"/>
            <w:vAlign w:val="center"/>
          </w:tcPr>
          <w:p>
            <w:pPr>
              <w:keepNext w:val="0"/>
              <w:keepLines w:val="0"/>
              <w:pageBreakBefore w:val="0"/>
              <w:widowControl/>
              <w:numPr>
                <w:ilvl w:val="0"/>
                <w:numId w:val="0"/>
              </w:numPr>
              <w:suppressLineNumbers w:val="0"/>
              <w:kinsoku/>
              <w:wordWrap/>
              <w:overflowPunct/>
              <w:topLinePunct w:val="0"/>
              <w:autoSpaceDE/>
              <w:autoSpaceDN/>
              <w:bidi w:val="0"/>
              <w:adjustRightInd/>
              <w:snapToGrid/>
              <w:spacing w:line="360" w:lineRule="auto"/>
              <w:jc w:val="both"/>
              <w:textAlignment w:val="auto"/>
              <w:rPr>
                <w:rFonts w:hint="eastAsia" w:ascii="宋体" w:hAnsi="宋体" w:eastAsia="宋体" w:cs="宋体"/>
                <w:b/>
                <w:bCs/>
                <w:color w:val="000000"/>
                <w:kern w:val="0"/>
                <w:sz w:val="24"/>
                <w:szCs w:val="24"/>
                <w:highlight w:val="yellow"/>
                <w:vertAlign w:val="baseline"/>
                <w:lang w:val="en-US" w:eastAsia="zh-CN" w:bidi="ar"/>
              </w:rPr>
            </w:pPr>
            <w:r>
              <w:rPr>
                <w:rFonts w:hint="eastAsia" w:ascii="宋体" w:hAnsi="宋体" w:eastAsia="宋体" w:cs="宋体"/>
                <w:sz w:val="24"/>
                <w:szCs w:val="24"/>
              </w:rPr>
              <w:t>协助客户通过电梯年检工作， 并负责完成年检中发生的属于本合同范围内的整改工作。由中标方缴纳电梯年度电梯检验费用。</w:t>
            </w:r>
          </w:p>
        </w:tc>
        <w:tc>
          <w:tcPr>
            <w:tcW w:w="1610" w:type="dxa"/>
            <w:noWrap w:val="0"/>
            <w:vAlign w:val="top"/>
          </w:tcPr>
          <w:p>
            <w:pPr>
              <w:keepNext w:val="0"/>
              <w:keepLines w:val="0"/>
              <w:pageBreakBefore w:val="0"/>
              <w:widowControl/>
              <w:numPr>
                <w:ilvl w:val="0"/>
                <w:numId w:val="0"/>
              </w:numPr>
              <w:suppressLineNumbers w:val="0"/>
              <w:kinsoku/>
              <w:wordWrap/>
              <w:overflowPunct/>
              <w:topLinePunct w:val="0"/>
              <w:autoSpaceDE/>
              <w:autoSpaceDN/>
              <w:bidi w:val="0"/>
              <w:adjustRightInd/>
              <w:snapToGrid/>
              <w:spacing w:line="360" w:lineRule="auto"/>
              <w:jc w:val="left"/>
              <w:textAlignment w:val="auto"/>
              <w:rPr>
                <w:rFonts w:hint="eastAsia" w:ascii="宋体" w:hAnsi="宋体" w:eastAsia="宋体" w:cs="宋体"/>
                <w:b/>
                <w:bCs/>
                <w:color w:val="000000"/>
                <w:kern w:val="0"/>
                <w:sz w:val="24"/>
                <w:szCs w:val="24"/>
                <w:highlight w:val="yellow"/>
                <w:vertAlign w:val="baseli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6" w:hRule="atLeast"/>
        </w:trPr>
        <w:tc>
          <w:tcPr>
            <w:tcW w:w="1507" w:type="dxa"/>
            <w:noWrap w:val="0"/>
            <w:vAlign w:val="center"/>
          </w:tcPr>
          <w:p>
            <w:pPr>
              <w:keepNext w:val="0"/>
              <w:keepLines w:val="0"/>
              <w:pageBreakBefore w:val="0"/>
              <w:widowControl/>
              <w:numPr>
                <w:ilvl w:val="0"/>
                <w:numId w:val="0"/>
              </w:numPr>
              <w:suppressLineNumbers w:val="0"/>
              <w:kinsoku/>
              <w:wordWrap/>
              <w:overflowPunct/>
              <w:topLinePunct w:val="0"/>
              <w:autoSpaceDE/>
              <w:autoSpaceDN/>
              <w:bidi w:val="0"/>
              <w:adjustRightInd/>
              <w:snapToGrid/>
              <w:spacing w:line="360" w:lineRule="auto"/>
              <w:jc w:val="center"/>
              <w:textAlignment w:val="auto"/>
              <w:rPr>
                <w:rFonts w:hint="eastAsia" w:ascii="宋体" w:hAnsi="宋体" w:eastAsia="宋体" w:cs="宋体"/>
                <w:b/>
                <w:bCs/>
                <w:color w:val="000000"/>
                <w:kern w:val="0"/>
                <w:sz w:val="24"/>
                <w:szCs w:val="24"/>
                <w:highlight w:val="yellow"/>
                <w:vertAlign w:val="baseline"/>
                <w:lang w:val="en-US" w:eastAsia="zh-CN" w:bidi="ar"/>
              </w:rPr>
            </w:pPr>
            <w:r>
              <w:rPr>
                <w:rFonts w:hint="eastAsia" w:ascii="宋体" w:hAnsi="宋体" w:eastAsia="宋体" w:cs="宋体"/>
                <w:sz w:val="24"/>
                <w:szCs w:val="24"/>
              </w:rPr>
              <w:t>软件更新</w:t>
            </w:r>
          </w:p>
        </w:tc>
        <w:tc>
          <w:tcPr>
            <w:tcW w:w="6484" w:type="dxa"/>
            <w:noWrap w:val="0"/>
            <w:vAlign w:val="center"/>
          </w:tcPr>
          <w:p>
            <w:pPr>
              <w:keepNext w:val="0"/>
              <w:keepLines w:val="0"/>
              <w:pageBreakBefore w:val="0"/>
              <w:widowControl/>
              <w:numPr>
                <w:ilvl w:val="0"/>
                <w:numId w:val="0"/>
              </w:numPr>
              <w:suppressLineNumbers w:val="0"/>
              <w:kinsoku/>
              <w:wordWrap/>
              <w:overflowPunct/>
              <w:topLinePunct w:val="0"/>
              <w:autoSpaceDE/>
              <w:autoSpaceDN/>
              <w:bidi w:val="0"/>
              <w:adjustRightInd/>
              <w:snapToGrid/>
              <w:spacing w:line="360" w:lineRule="auto"/>
              <w:jc w:val="both"/>
              <w:textAlignment w:val="auto"/>
              <w:rPr>
                <w:rFonts w:hint="eastAsia" w:ascii="宋体" w:hAnsi="宋体" w:eastAsia="宋体" w:cs="宋体"/>
                <w:b/>
                <w:bCs/>
                <w:color w:val="000000"/>
                <w:kern w:val="0"/>
                <w:sz w:val="24"/>
                <w:szCs w:val="24"/>
                <w:highlight w:val="yellow"/>
                <w:vertAlign w:val="baseline"/>
                <w:lang w:val="en-US" w:eastAsia="zh-CN" w:bidi="ar"/>
              </w:rPr>
            </w:pPr>
            <w:r>
              <w:rPr>
                <w:rFonts w:hint="eastAsia" w:ascii="宋体" w:hAnsi="宋体" w:eastAsia="宋体" w:cs="宋体"/>
                <w:sz w:val="24"/>
                <w:szCs w:val="24"/>
              </w:rPr>
              <w:t>提供最新的电梯控制软件（不包括改变现有功能）</w:t>
            </w:r>
          </w:p>
        </w:tc>
        <w:tc>
          <w:tcPr>
            <w:tcW w:w="1610" w:type="dxa"/>
            <w:noWrap w:val="0"/>
            <w:vAlign w:val="top"/>
          </w:tcPr>
          <w:p>
            <w:pPr>
              <w:keepNext w:val="0"/>
              <w:keepLines w:val="0"/>
              <w:pageBreakBefore w:val="0"/>
              <w:widowControl/>
              <w:numPr>
                <w:ilvl w:val="0"/>
                <w:numId w:val="0"/>
              </w:numPr>
              <w:suppressLineNumbers w:val="0"/>
              <w:kinsoku/>
              <w:wordWrap/>
              <w:overflowPunct/>
              <w:topLinePunct w:val="0"/>
              <w:autoSpaceDE/>
              <w:autoSpaceDN/>
              <w:bidi w:val="0"/>
              <w:adjustRightInd/>
              <w:snapToGrid/>
              <w:spacing w:line="360" w:lineRule="auto"/>
              <w:jc w:val="left"/>
              <w:textAlignment w:val="auto"/>
              <w:rPr>
                <w:rFonts w:hint="eastAsia" w:ascii="宋体" w:hAnsi="宋体" w:eastAsia="宋体" w:cs="宋体"/>
                <w:b/>
                <w:bCs/>
                <w:color w:val="000000"/>
                <w:kern w:val="0"/>
                <w:sz w:val="24"/>
                <w:szCs w:val="24"/>
                <w:highlight w:val="yellow"/>
                <w:vertAlign w:val="baseli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8" w:hRule="atLeast"/>
        </w:trPr>
        <w:tc>
          <w:tcPr>
            <w:tcW w:w="1507" w:type="dxa"/>
            <w:noWrap w:val="0"/>
            <w:vAlign w:val="center"/>
          </w:tcPr>
          <w:p>
            <w:pPr>
              <w:keepNext w:val="0"/>
              <w:keepLines w:val="0"/>
              <w:pageBreakBefore w:val="0"/>
              <w:widowControl/>
              <w:numPr>
                <w:ilvl w:val="0"/>
                <w:numId w:val="0"/>
              </w:numPr>
              <w:suppressLineNumbers w:val="0"/>
              <w:kinsoku/>
              <w:wordWrap/>
              <w:overflowPunct/>
              <w:topLinePunct w:val="0"/>
              <w:autoSpaceDE/>
              <w:autoSpaceDN/>
              <w:bidi w:val="0"/>
              <w:adjustRightInd/>
              <w:snapToGrid/>
              <w:spacing w:line="360" w:lineRule="auto"/>
              <w:jc w:val="center"/>
              <w:textAlignment w:val="auto"/>
              <w:rPr>
                <w:rFonts w:hint="eastAsia" w:ascii="宋体" w:hAnsi="宋体" w:eastAsia="宋体" w:cs="宋体"/>
                <w:b/>
                <w:bCs/>
                <w:color w:val="000000"/>
                <w:kern w:val="0"/>
                <w:sz w:val="24"/>
                <w:szCs w:val="24"/>
                <w:highlight w:val="yellow"/>
                <w:vertAlign w:val="baseline"/>
                <w:lang w:val="en-US" w:eastAsia="zh-CN" w:bidi="ar"/>
              </w:rPr>
            </w:pPr>
            <w:r>
              <w:rPr>
                <w:rFonts w:hint="eastAsia" w:ascii="宋体" w:hAnsi="宋体" w:eastAsia="宋体" w:cs="宋体"/>
                <w:sz w:val="24"/>
                <w:szCs w:val="24"/>
              </w:rPr>
              <w:t>修理</w:t>
            </w:r>
          </w:p>
        </w:tc>
        <w:tc>
          <w:tcPr>
            <w:tcW w:w="6484" w:type="dxa"/>
            <w:noWrap w:val="0"/>
            <w:vAlign w:val="center"/>
          </w:tcPr>
          <w:p>
            <w:pPr>
              <w:keepNext w:val="0"/>
              <w:keepLines w:val="0"/>
              <w:pageBreakBefore w:val="0"/>
              <w:widowControl/>
              <w:numPr>
                <w:ilvl w:val="0"/>
                <w:numId w:val="0"/>
              </w:numPr>
              <w:suppressLineNumbers w:val="0"/>
              <w:kinsoku/>
              <w:wordWrap/>
              <w:overflowPunct/>
              <w:topLinePunct w:val="0"/>
              <w:autoSpaceDE/>
              <w:autoSpaceDN/>
              <w:bidi w:val="0"/>
              <w:adjustRightInd/>
              <w:snapToGrid/>
              <w:spacing w:line="360" w:lineRule="auto"/>
              <w:jc w:val="both"/>
              <w:textAlignment w:val="auto"/>
              <w:rPr>
                <w:rFonts w:hint="eastAsia" w:ascii="宋体" w:hAnsi="宋体" w:eastAsia="宋体" w:cs="宋体"/>
                <w:b/>
                <w:bCs/>
                <w:color w:val="000000"/>
                <w:kern w:val="0"/>
                <w:sz w:val="24"/>
                <w:szCs w:val="24"/>
                <w:highlight w:val="yellow"/>
                <w:vertAlign w:val="baseline"/>
                <w:lang w:val="en-US" w:eastAsia="zh-CN" w:bidi="ar"/>
              </w:rPr>
            </w:pPr>
            <w:r>
              <w:rPr>
                <w:rFonts w:hint="eastAsia" w:ascii="宋体" w:hAnsi="宋体" w:eastAsia="宋体" w:cs="宋体"/>
                <w:sz w:val="24"/>
                <w:szCs w:val="24"/>
              </w:rPr>
              <w:t>合同期内电梯发生故障， 征得客户确认后， 免费提供日常维护及一般故障处理</w:t>
            </w:r>
          </w:p>
        </w:tc>
        <w:tc>
          <w:tcPr>
            <w:tcW w:w="1610" w:type="dxa"/>
            <w:noWrap w:val="0"/>
            <w:vAlign w:val="top"/>
          </w:tcPr>
          <w:p>
            <w:pPr>
              <w:keepNext w:val="0"/>
              <w:keepLines w:val="0"/>
              <w:pageBreakBefore w:val="0"/>
              <w:widowControl/>
              <w:numPr>
                <w:ilvl w:val="0"/>
                <w:numId w:val="0"/>
              </w:numPr>
              <w:suppressLineNumbers w:val="0"/>
              <w:kinsoku/>
              <w:wordWrap/>
              <w:overflowPunct/>
              <w:topLinePunct w:val="0"/>
              <w:autoSpaceDE/>
              <w:autoSpaceDN/>
              <w:bidi w:val="0"/>
              <w:adjustRightInd/>
              <w:snapToGrid/>
              <w:spacing w:line="360" w:lineRule="auto"/>
              <w:jc w:val="left"/>
              <w:textAlignment w:val="auto"/>
              <w:rPr>
                <w:rFonts w:hint="eastAsia" w:ascii="宋体" w:hAnsi="宋体" w:eastAsia="宋体" w:cs="宋体"/>
                <w:b/>
                <w:bCs/>
                <w:color w:val="000000"/>
                <w:kern w:val="0"/>
                <w:sz w:val="24"/>
                <w:szCs w:val="24"/>
                <w:highlight w:val="yellow"/>
                <w:vertAlign w:val="baseli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10" w:hRule="atLeast"/>
        </w:trPr>
        <w:tc>
          <w:tcPr>
            <w:tcW w:w="1507" w:type="dxa"/>
            <w:noWrap w:val="0"/>
            <w:vAlign w:val="center"/>
          </w:tcPr>
          <w:p>
            <w:pPr>
              <w:keepNext w:val="0"/>
              <w:keepLines w:val="0"/>
              <w:pageBreakBefore w:val="0"/>
              <w:widowControl/>
              <w:numPr>
                <w:ilvl w:val="0"/>
                <w:numId w:val="0"/>
              </w:numPr>
              <w:suppressLineNumbers w:val="0"/>
              <w:kinsoku/>
              <w:wordWrap/>
              <w:overflowPunct/>
              <w:topLinePunct w:val="0"/>
              <w:autoSpaceDE/>
              <w:autoSpaceDN/>
              <w:bidi w:val="0"/>
              <w:adjustRightInd/>
              <w:snapToGrid/>
              <w:spacing w:line="360" w:lineRule="auto"/>
              <w:jc w:val="center"/>
              <w:textAlignment w:val="auto"/>
              <w:rPr>
                <w:rFonts w:hint="eastAsia" w:ascii="宋体" w:hAnsi="宋体" w:eastAsia="宋体" w:cs="宋体"/>
                <w:b/>
                <w:bCs/>
                <w:color w:val="0000FF"/>
                <w:kern w:val="0"/>
                <w:sz w:val="24"/>
                <w:szCs w:val="24"/>
                <w:highlight w:val="yellow"/>
                <w:vertAlign w:val="baseline"/>
                <w:lang w:val="en-US" w:eastAsia="zh-CN" w:bidi="ar"/>
              </w:rPr>
            </w:pPr>
            <w:r>
              <w:rPr>
                <w:rFonts w:hint="eastAsia" w:ascii="宋体" w:hAnsi="宋体" w:eastAsia="宋体" w:cs="宋体"/>
                <w:color w:val="0000FF"/>
                <w:sz w:val="24"/>
                <w:szCs w:val="24"/>
              </w:rPr>
              <w:t>配件</w:t>
            </w:r>
          </w:p>
        </w:tc>
        <w:tc>
          <w:tcPr>
            <w:tcW w:w="6484" w:type="dxa"/>
            <w:noWrap w:val="0"/>
            <w:vAlign w:val="center"/>
          </w:tcPr>
          <w:p>
            <w:pPr>
              <w:keepNext w:val="0"/>
              <w:keepLines w:val="0"/>
              <w:pageBreakBefore w:val="0"/>
              <w:widowControl/>
              <w:numPr>
                <w:ilvl w:val="0"/>
                <w:numId w:val="0"/>
              </w:numPr>
              <w:suppressLineNumbers w:val="0"/>
              <w:kinsoku/>
              <w:wordWrap/>
              <w:overflowPunct/>
              <w:topLinePunct w:val="0"/>
              <w:autoSpaceDE/>
              <w:autoSpaceDN/>
              <w:bidi w:val="0"/>
              <w:adjustRightInd/>
              <w:snapToGrid/>
              <w:spacing w:line="360" w:lineRule="auto"/>
              <w:jc w:val="both"/>
              <w:textAlignment w:val="auto"/>
              <w:rPr>
                <w:rFonts w:hint="eastAsia" w:ascii="宋体" w:hAnsi="宋体" w:eastAsia="宋体" w:cs="宋体"/>
                <w:b/>
                <w:bCs/>
                <w:color w:val="0000FF"/>
                <w:kern w:val="0"/>
                <w:sz w:val="24"/>
                <w:szCs w:val="24"/>
                <w:highlight w:val="yellow"/>
                <w:vertAlign w:val="baseline"/>
                <w:lang w:val="en-US" w:eastAsia="zh-CN" w:bidi="ar"/>
              </w:rPr>
            </w:pPr>
            <w:r>
              <w:rPr>
                <w:rFonts w:hint="eastAsia" w:ascii="宋体" w:hAnsi="宋体" w:eastAsia="宋体" w:cs="宋体"/>
                <w:color w:val="0000FF"/>
                <w:sz w:val="24"/>
                <w:szCs w:val="24"/>
              </w:rPr>
              <w:t>合同期内免费提供所需电梯配件，及大/中修所需配件(含三大件：曳引机；门机、变频器；控制柜含变频驱动及控制柜主板)</w:t>
            </w:r>
          </w:p>
        </w:tc>
        <w:tc>
          <w:tcPr>
            <w:tcW w:w="1610" w:type="dxa"/>
            <w:noWrap w:val="0"/>
            <w:vAlign w:val="top"/>
          </w:tcPr>
          <w:p>
            <w:pPr>
              <w:keepNext w:val="0"/>
              <w:keepLines w:val="0"/>
              <w:pageBreakBefore w:val="0"/>
              <w:widowControl/>
              <w:numPr>
                <w:ilvl w:val="0"/>
                <w:numId w:val="0"/>
              </w:numPr>
              <w:suppressLineNumbers w:val="0"/>
              <w:kinsoku/>
              <w:wordWrap/>
              <w:overflowPunct/>
              <w:topLinePunct w:val="0"/>
              <w:autoSpaceDE/>
              <w:autoSpaceDN/>
              <w:bidi w:val="0"/>
              <w:adjustRightInd/>
              <w:snapToGrid/>
              <w:spacing w:line="360" w:lineRule="auto"/>
              <w:jc w:val="left"/>
              <w:textAlignment w:val="auto"/>
              <w:rPr>
                <w:rFonts w:hint="eastAsia" w:ascii="宋体" w:hAnsi="宋体" w:eastAsia="宋体" w:cs="宋体"/>
                <w:b/>
                <w:bCs/>
                <w:color w:val="000000"/>
                <w:kern w:val="0"/>
                <w:sz w:val="24"/>
                <w:szCs w:val="24"/>
                <w:highlight w:val="yellow"/>
                <w:vertAlign w:val="baseli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8" w:hRule="atLeast"/>
        </w:trPr>
        <w:tc>
          <w:tcPr>
            <w:tcW w:w="1507" w:type="dxa"/>
            <w:noWrap w:val="0"/>
            <w:vAlign w:val="center"/>
          </w:tcPr>
          <w:p>
            <w:pPr>
              <w:keepNext w:val="0"/>
              <w:keepLines w:val="0"/>
              <w:pageBreakBefore w:val="0"/>
              <w:widowControl/>
              <w:numPr>
                <w:ilvl w:val="0"/>
                <w:numId w:val="0"/>
              </w:numPr>
              <w:suppressLineNumbers w:val="0"/>
              <w:kinsoku/>
              <w:wordWrap/>
              <w:overflowPunct/>
              <w:topLinePunct w:val="0"/>
              <w:autoSpaceDE/>
              <w:autoSpaceDN/>
              <w:bidi w:val="0"/>
              <w:adjustRightInd/>
              <w:snapToGrid/>
              <w:spacing w:line="360" w:lineRule="auto"/>
              <w:jc w:val="center"/>
              <w:textAlignment w:val="auto"/>
              <w:rPr>
                <w:rFonts w:hint="eastAsia" w:ascii="宋体" w:hAnsi="宋体" w:eastAsia="宋体" w:cs="宋体"/>
                <w:b/>
                <w:bCs/>
                <w:color w:val="000000"/>
                <w:kern w:val="0"/>
                <w:sz w:val="24"/>
                <w:szCs w:val="24"/>
                <w:highlight w:val="yellow"/>
                <w:vertAlign w:val="baseline"/>
                <w:lang w:val="en-US" w:eastAsia="zh-CN" w:bidi="ar"/>
              </w:rPr>
            </w:pPr>
            <w:r>
              <w:rPr>
                <w:rFonts w:hint="eastAsia" w:ascii="宋体" w:hAnsi="宋体" w:eastAsia="宋体" w:cs="宋体"/>
                <w:sz w:val="24"/>
                <w:szCs w:val="24"/>
              </w:rPr>
              <w:t>大/中修</w:t>
            </w:r>
          </w:p>
        </w:tc>
        <w:tc>
          <w:tcPr>
            <w:tcW w:w="6484" w:type="dxa"/>
            <w:noWrap w:val="0"/>
            <w:vAlign w:val="center"/>
          </w:tcPr>
          <w:p>
            <w:pPr>
              <w:keepNext w:val="0"/>
              <w:keepLines w:val="0"/>
              <w:pageBreakBefore w:val="0"/>
              <w:widowControl/>
              <w:numPr>
                <w:ilvl w:val="0"/>
                <w:numId w:val="0"/>
              </w:numPr>
              <w:suppressLineNumbers w:val="0"/>
              <w:kinsoku/>
              <w:wordWrap/>
              <w:overflowPunct/>
              <w:topLinePunct w:val="0"/>
              <w:autoSpaceDE/>
              <w:autoSpaceDN/>
              <w:bidi w:val="0"/>
              <w:adjustRightInd/>
              <w:snapToGrid/>
              <w:spacing w:line="360" w:lineRule="auto"/>
              <w:jc w:val="both"/>
              <w:textAlignment w:val="auto"/>
              <w:rPr>
                <w:rFonts w:hint="eastAsia" w:ascii="宋体" w:hAnsi="宋体" w:eastAsia="宋体" w:cs="宋体"/>
                <w:b/>
                <w:bCs/>
                <w:color w:val="000000"/>
                <w:kern w:val="0"/>
                <w:sz w:val="24"/>
                <w:szCs w:val="24"/>
                <w:highlight w:val="yellow"/>
                <w:vertAlign w:val="baseline"/>
                <w:lang w:val="en-US" w:eastAsia="zh-CN" w:bidi="ar"/>
              </w:rPr>
            </w:pPr>
            <w:r>
              <w:rPr>
                <w:rFonts w:hint="eastAsia" w:ascii="宋体" w:hAnsi="宋体" w:eastAsia="宋体" w:cs="宋体"/>
                <w:sz w:val="24"/>
                <w:szCs w:val="24"/>
              </w:rPr>
              <w:t>合同期内，经客户确认后，免费提供国标规定的电梯大/中型维修服务（含材料及人工）</w:t>
            </w:r>
          </w:p>
        </w:tc>
        <w:tc>
          <w:tcPr>
            <w:tcW w:w="1610" w:type="dxa"/>
            <w:noWrap w:val="0"/>
            <w:vAlign w:val="top"/>
          </w:tcPr>
          <w:p>
            <w:pPr>
              <w:keepNext w:val="0"/>
              <w:keepLines w:val="0"/>
              <w:pageBreakBefore w:val="0"/>
              <w:widowControl/>
              <w:numPr>
                <w:ilvl w:val="0"/>
                <w:numId w:val="0"/>
              </w:numPr>
              <w:suppressLineNumbers w:val="0"/>
              <w:kinsoku/>
              <w:wordWrap/>
              <w:overflowPunct/>
              <w:topLinePunct w:val="0"/>
              <w:autoSpaceDE/>
              <w:autoSpaceDN/>
              <w:bidi w:val="0"/>
              <w:adjustRightInd/>
              <w:snapToGrid/>
              <w:spacing w:line="360" w:lineRule="auto"/>
              <w:jc w:val="left"/>
              <w:textAlignment w:val="auto"/>
              <w:rPr>
                <w:rFonts w:hint="eastAsia" w:ascii="宋体" w:hAnsi="宋体" w:eastAsia="宋体" w:cs="宋体"/>
                <w:b/>
                <w:bCs/>
                <w:color w:val="000000"/>
                <w:kern w:val="0"/>
                <w:sz w:val="24"/>
                <w:szCs w:val="24"/>
                <w:highlight w:val="yellow"/>
                <w:vertAlign w:val="baseli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44" w:hRule="atLeast"/>
        </w:trPr>
        <w:tc>
          <w:tcPr>
            <w:tcW w:w="1507" w:type="dxa"/>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z w:val="24"/>
                <w:szCs w:val="24"/>
              </w:rPr>
            </w:pPr>
            <w:r>
              <w:rPr>
                <w:rFonts w:hint="eastAsia" w:ascii="宋体" w:hAnsi="宋体" w:eastAsia="宋体" w:cs="宋体"/>
                <w:sz w:val="24"/>
                <w:szCs w:val="24"/>
              </w:rPr>
              <w:t>电梯年度检验</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360" w:lineRule="auto"/>
              <w:jc w:val="center"/>
              <w:textAlignment w:val="auto"/>
              <w:rPr>
                <w:rFonts w:hint="eastAsia" w:ascii="宋体" w:hAnsi="宋体" w:eastAsia="宋体" w:cs="宋体"/>
                <w:b/>
                <w:bCs/>
                <w:color w:val="000000"/>
                <w:kern w:val="0"/>
                <w:sz w:val="24"/>
                <w:szCs w:val="24"/>
                <w:highlight w:val="yellow"/>
                <w:vertAlign w:val="baseline"/>
                <w:lang w:val="en-US" w:eastAsia="zh-CN" w:bidi="ar"/>
              </w:rPr>
            </w:pPr>
            <w:r>
              <w:rPr>
                <w:rFonts w:hint="eastAsia" w:ascii="宋体" w:hAnsi="宋体" w:eastAsia="宋体" w:cs="宋体"/>
                <w:sz w:val="24"/>
                <w:szCs w:val="24"/>
              </w:rPr>
              <w:t>（</w:t>
            </w:r>
            <w:r>
              <w:rPr>
                <w:rFonts w:hint="eastAsia" w:ascii="宋体" w:hAnsi="宋体" w:eastAsia="宋体" w:cs="宋体"/>
                <w:sz w:val="24"/>
                <w:szCs w:val="24"/>
                <w:lang w:val="en-US" w:eastAsia="zh-CN"/>
              </w:rPr>
              <w:t>13</w:t>
            </w:r>
            <w:r>
              <w:rPr>
                <w:rFonts w:hint="eastAsia" w:ascii="宋体" w:hAnsi="宋体" w:eastAsia="宋体" w:cs="宋体"/>
                <w:sz w:val="24"/>
                <w:szCs w:val="24"/>
              </w:rPr>
              <w:t xml:space="preserve"> 部电梯）</w:t>
            </w:r>
          </w:p>
        </w:tc>
        <w:tc>
          <w:tcPr>
            <w:tcW w:w="6484" w:type="dxa"/>
            <w:noWrap w:val="0"/>
            <w:vAlign w:val="center"/>
          </w:tcPr>
          <w:p>
            <w:pPr>
              <w:keepNext w:val="0"/>
              <w:keepLines w:val="0"/>
              <w:pageBreakBefore w:val="0"/>
              <w:widowControl/>
              <w:numPr>
                <w:ilvl w:val="0"/>
                <w:numId w:val="0"/>
              </w:numPr>
              <w:suppressLineNumbers w:val="0"/>
              <w:kinsoku/>
              <w:wordWrap/>
              <w:overflowPunct/>
              <w:topLinePunct w:val="0"/>
              <w:autoSpaceDE/>
              <w:autoSpaceDN/>
              <w:bidi w:val="0"/>
              <w:adjustRightInd/>
              <w:snapToGrid/>
              <w:spacing w:line="360" w:lineRule="auto"/>
              <w:jc w:val="both"/>
              <w:textAlignment w:val="auto"/>
              <w:rPr>
                <w:rFonts w:hint="eastAsia" w:ascii="宋体" w:hAnsi="宋体" w:eastAsia="宋体" w:cs="宋体"/>
                <w:b/>
                <w:bCs/>
                <w:color w:val="000000"/>
                <w:kern w:val="0"/>
                <w:sz w:val="24"/>
                <w:szCs w:val="24"/>
                <w:highlight w:val="yellow"/>
                <w:vertAlign w:val="baseline"/>
                <w:lang w:val="en-US" w:eastAsia="zh-CN" w:bidi="ar"/>
              </w:rPr>
            </w:pPr>
            <w:r>
              <w:rPr>
                <w:rFonts w:hint="eastAsia" w:ascii="宋体" w:hAnsi="宋体" w:eastAsia="宋体" w:cs="宋体"/>
                <w:sz w:val="24"/>
                <w:szCs w:val="24"/>
              </w:rPr>
              <w:t>由中标方缴纳费用。</w:t>
            </w:r>
          </w:p>
        </w:tc>
        <w:tc>
          <w:tcPr>
            <w:tcW w:w="1610" w:type="dxa"/>
            <w:noWrap w:val="0"/>
            <w:vAlign w:val="top"/>
          </w:tcPr>
          <w:p>
            <w:pPr>
              <w:keepNext w:val="0"/>
              <w:keepLines w:val="0"/>
              <w:pageBreakBefore w:val="0"/>
              <w:widowControl/>
              <w:numPr>
                <w:ilvl w:val="0"/>
                <w:numId w:val="0"/>
              </w:numPr>
              <w:suppressLineNumbers w:val="0"/>
              <w:kinsoku/>
              <w:wordWrap/>
              <w:overflowPunct/>
              <w:topLinePunct w:val="0"/>
              <w:autoSpaceDE/>
              <w:autoSpaceDN/>
              <w:bidi w:val="0"/>
              <w:adjustRightInd/>
              <w:snapToGrid/>
              <w:spacing w:line="360" w:lineRule="auto"/>
              <w:jc w:val="left"/>
              <w:textAlignment w:val="auto"/>
              <w:rPr>
                <w:rFonts w:hint="eastAsia" w:ascii="宋体" w:hAnsi="宋体" w:eastAsia="宋体" w:cs="宋体"/>
                <w:b/>
                <w:bCs/>
                <w:color w:val="000000"/>
                <w:kern w:val="0"/>
                <w:sz w:val="24"/>
                <w:szCs w:val="24"/>
                <w:highlight w:val="yellow"/>
                <w:vertAlign w:val="baseli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58" w:hRule="atLeast"/>
        </w:trPr>
        <w:tc>
          <w:tcPr>
            <w:tcW w:w="1507" w:type="dxa"/>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z w:val="24"/>
                <w:szCs w:val="24"/>
              </w:rPr>
            </w:pPr>
            <w:r>
              <w:rPr>
                <w:rFonts w:hint="eastAsia" w:ascii="宋体" w:hAnsi="宋体" w:eastAsia="宋体" w:cs="宋体"/>
                <w:sz w:val="24"/>
                <w:szCs w:val="24"/>
              </w:rPr>
              <w:t>限速器检验费</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360" w:lineRule="auto"/>
              <w:jc w:val="center"/>
              <w:textAlignment w:val="auto"/>
              <w:rPr>
                <w:rFonts w:hint="eastAsia" w:ascii="宋体" w:hAnsi="宋体" w:eastAsia="宋体" w:cs="宋体"/>
                <w:b/>
                <w:bCs/>
                <w:color w:val="000000"/>
                <w:kern w:val="0"/>
                <w:sz w:val="24"/>
                <w:szCs w:val="24"/>
                <w:highlight w:val="yellow"/>
                <w:vertAlign w:val="baseline"/>
                <w:lang w:val="en-US" w:eastAsia="zh-CN" w:bidi="ar"/>
              </w:rPr>
            </w:pPr>
            <w:r>
              <w:rPr>
                <w:rFonts w:hint="eastAsia" w:ascii="宋体" w:hAnsi="宋体" w:eastAsia="宋体" w:cs="宋体"/>
                <w:sz w:val="24"/>
                <w:szCs w:val="24"/>
              </w:rPr>
              <w:t>（</w:t>
            </w:r>
            <w:r>
              <w:rPr>
                <w:rFonts w:hint="eastAsia" w:ascii="宋体" w:hAnsi="宋体" w:eastAsia="宋体" w:cs="宋体"/>
                <w:sz w:val="24"/>
                <w:szCs w:val="24"/>
                <w:lang w:val="en-US" w:eastAsia="zh-CN"/>
              </w:rPr>
              <w:t>13</w:t>
            </w:r>
            <w:r>
              <w:rPr>
                <w:rFonts w:hint="eastAsia" w:ascii="宋体" w:hAnsi="宋体" w:eastAsia="宋体" w:cs="宋体"/>
                <w:sz w:val="24"/>
                <w:szCs w:val="24"/>
              </w:rPr>
              <w:t xml:space="preserve"> 部电梯）</w:t>
            </w:r>
          </w:p>
        </w:tc>
        <w:tc>
          <w:tcPr>
            <w:tcW w:w="6484" w:type="dxa"/>
            <w:noWrap w:val="0"/>
            <w:vAlign w:val="center"/>
          </w:tcPr>
          <w:p>
            <w:pPr>
              <w:keepNext w:val="0"/>
              <w:keepLines w:val="0"/>
              <w:pageBreakBefore w:val="0"/>
              <w:widowControl/>
              <w:numPr>
                <w:ilvl w:val="0"/>
                <w:numId w:val="0"/>
              </w:numPr>
              <w:suppressLineNumbers w:val="0"/>
              <w:kinsoku/>
              <w:wordWrap/>
              <w:overflowPunct/>
              <w:topLinePunct w:val="0"/>
              <w:autoSpaceDE/>
              <w:autoSpaceDN/>
              <w:bidi w:val="0"/>
              <w:adjustRightInd/>
              <w:snapToGrid/>
              <w:spacing w:line="360" w:lineRule="auto"/>
              <w:jc w:val="both"/>
              <w:textAlignment w:val="auto"/>
              <w:rPr>
                <w:rFonts w:hint="eastAsia" w:ascii="宋体" w:hAnsi="宋体" w:eastAsia="宋体" w:cs="宋体"/>
                <w:b/>
                <w:bCs/>
                <w:color w:val="000000"/>
                <w:kern w:val="0"/>
                <w:sz w:val="24"/>
                <w:szCs w:val="24"/>
                <w:highlight w:val="yellow"/>
                <w:vertAlign w:val="baseline"/>
                <w:lang w:val="en-US" w:eastAsia="zh-CN" w:bidi="ar"/>
              </w:rPr>
            </w:pPr>
            <w:r>
              <w:rPr>
                <w:rFonts w:hint="eastAsia" w:ascii="宋体" w:hAnsi="宋体" w:eastAsia="宋体" w:cs="宋体"/>
                <w:sz w:val="24"/>
                <w:szCs w:val="24"/>
              </w:rPr>
              <w:t>由中标方缴纳检验费用。</w:t>
            </w:r>
          </w:p>
        </w:tc>
        <w:tc>
          <w:tcPr>
            <w:tcW w:w="1610" w:type="dxa"/>
            <w:noWrap w:val="0"/>
            <w:vAlign w:val="top"/>
          </w:tcPr>
          <w:p>
            <w:pPr>
              <w:keepNext w:val="0"/>
              <w:keepLines w:val="0"/>
              <w:pageBreakBefore w:val="0"/>
              <w:widowControl/>
              <w:numPr>
                <w:ilvl w:val="0"/>
                <w:numId w:val="0"/>
              </w:numPr>
              <w:suppressLineNumbers w:val="0"/>
              <w:kinsoku/>
              <w:wordWrap/>
              <w:overflowPunct/>
              <w:topLinePunct w:val="0"/>
              <w:autoSpaceDE/>
              <w:autoSpaceDN/>
              <w:bidi w:val="0"/>
              <w:adjustRightInd/>
              <w:snapToGrid/>
              <w:spacing w:line="360" w:lineRule="auto"/>
              <w:jc w:val="left"/>
              <w:textAlignment w:val="auto"/>
              <w:rPr>
                <w:rFonts w:hint="eastAsia" w:ascii="宋体" w:hAnsi="宋体" w:eastAsia="宋体" w:cs="宋体"/>
                <w:b/>
                <w:bCs/>
                <w:color w:val="000000"/>
                <w:kern w:val="0"/>
                <w:sz w:val="24"/>
                <w:szCs w:val="24"/>
                <w:highlight w:val="yellow"/>
                <w:vertAlign w:val="baseline"/>
                <w:lang w:val="en-US" w:eastAsia="zh-CN" w:bidi="ar"/>
              </w:rPr>
            </w:pPr>
          </w:p>
        </w:tc>
      </w:tr>
    </w:tbl>
    <w:p>
      <w:pPr>
        <w:keepNext w:val="0"/>
        <w:keepLines w:val="0"/>
        <w:widowControl/>
        <w:numPr>
          <w:ilvl w:val="0"/>
          <w:numId w:val="0"/>
        </w:numPr>
        <w:suppressLineNumbers w:val="0"/>
        <w:jc w:val="left"/>
        <w:rPr>
          <w:rFonts w:hint="eastAsia" w:ascii="宋体" w:hAnsi="宋体" w:eastAsia="宋体" w:cs="宋体"/>
          <w:b/>
          <w:bCs/>
          <w:color w:val="000000"/>
          <w:kern w:val="0"/>
          <w:sz w:val="24"/>
          <w:szCs w:val="24"/>
          <w:highlight w:val="yellow"/>
          <w:lang w:val="en-US" w:eastAsia="zh-CN" w:bidi="ar"/>
        </w:rPr>
      </w:pPr>
    </w:p>
    <w:p>
      <w:pPr>
        <w:keepNext w:val="0"/>
        <w:keepLines w:val="0"/>
        <w:widowControl/>
        <w:numPr>
          <w:ilvl w:val="0"/>
          <w:numId w:val="0"/>
        </w:numPr>
        <w:suppressLineNumbers w:val="0"/>
        <w:jc w:val="left"/>
        <w:rPr>
          <w:rFonts w:hint="eastAsia" w:ascii="宋体" w:hAnsi="宋体" w:eastAsia="宋体" w:cs="宋体"/>
          <w:b/>
          <w:bCs/>
          <w:color w:val="000000"/>
          <w:kern w:val="0"/>
          <w:sz w:val="24"/>
          <w:szCs w:val="24"/>
          <w:highlight w:val="yellow"/>
          <w:lang w:val="en-US" w:eastAsia="zh-CN" w:bidi="ar"/>
        </w:rPr>
      </w:pPr>
      <w:r>
        <w:rPr>
          <w:rFonts w:hint="eastAsia" w:ascii="宋体" w:hAnsi="宋体" w:eastAsia="宋体" w:cs="宋体"/>
          <w:b/>
          <w:bCs/>
          <w:color w:val="000000"/>
          <w:kern w:val="0"/>
          <w:sz w:val="24"/>
          <w:szCs w:val="24"/>
          <w:highlight w:val="yellow"/>
          <w:lang w:val="en-US" w:eastAsia="zh-CN" w:bidi="ar"/>
        </w:rPr>
        <w:t>四、 维修保养服务要求</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24"/>
        </w:rPr>
      </w:pPr>
      <w:r>
        <w:rPr>
          <w:rFonts w:hint="eastAsia" w:ascii="宋体" w:hAnsi="宋体" w:eastAsia="宋体" w:cs="宋体"/>
          <w:sz w:val="24"/>
          <w:szCs w:val="24"/>
        </w:rPr>
        <w:t>1、安排 1 名维保人员驻点服务（白班、夜班在岗值班），节假日期间维保人员 24 小时 在岗值班，如</w:t>
      </w:r>
      <w:r>
        <w:rPr>
          <w:rFonts w:hint="eastAsia"/>
          <w:lang w:val="en-US" w:eastAsia="zh-CN"/>
        </w:rPr>
        <w:t>项目</w:t>
      </w:r>
      <w:r>
        <w:rPr>
          <w:rFonts w:hint="eastAsia" w:ascii="宋体" w:hAnsi="宋体" w:eastAsia="宋体" w:cs="宋体"/>
          <w:sz w:val="24"/>
          <w:szCs w:val="24"/>
        </w:rPr>
        <w:t>有重要活动必须有三名维保人员在现场提供电梯保障服务；现场派驻人员 保持通讯畅通，紧急召修要在 10 分钟内赶到现场，12 小时内解决各种紧急故障（非大型器 件损坏）。 提供 24 小时的紧急救援服务，当电梯发生困人故障，驻点工作人员应在接到通 知后 10 分钟内到达现场实施紧急救援，电梯发生其他故障，供应商应在接到通知后以最快的速度及时派工程师赶赴现场协作排除故障。</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24"/>
        </w:rPr>
      </w:pPr>
      <w:r>
        <w:rPr>
          <w:rFonts w:hint="eastAsia" w:ascii="宋体" w:hAnsi="宋体" w:eastAsia="宋体" w:cs="宋体"/>
          <w:sz w:val="24"/>
          <w:szCs w:val="24"/>
        </w:rPr>
        <w:t>2、免费调换在服务期损坏的电梯零部件。</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24"/>
        </w:rPr>
      </w:pPr>
      <w:r>
        <w:rPr>
          <w:rFonts w:hint="eastAsia" w:ascii="宋体" w:hAnsi="宋体" w:eastAsia="宋体" w:cs="宋体"/>
          <w:sz w:val="24"/>
          <w:szCs w:val="24"/>
        </w:rPr>
        <w:t>3、常备部份电梯的易损件，以便电梯故障时损坏部件的及时更换。公司备、配件仓库 品种齐备，库存备、配件一旦短缺，及时补充确保电梯备、配件的供应。成交供应商送货上门。</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24"/>
        </w:rPr>
      </w:pPr>
      <w:r>
        <w:rPr>
          <w:rFonts w:hint="eastAsia" w:ascii="宋体" w:hAnsi="宋体" w:eastAsia="宋体" w:cs="宋体"/>
          <w:sz w:val="24"/>
          <w:szCs w:val="24"/>
        </w:rPr>
        <w:t>4、每年进行一次综合性的运行安全和运行质量的检查，并在检测结束时向采购人提交检测报告，并存档。</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24"/>
        </w:rPr>
      </w:pPr>
      <w:r>
        <w:rPr>
          <w:rFonts w:hint="eastAsia" w:ascii="宋体" w:hAnsi="宋体" w:eastAsia="宋体" w:cs="宋体"/>
          <w:sz w:val="24"/>
          <w:szCs w:val="24"/>
        </w:rPr>
        <w:t>5、接到</w:t>
      </w:r>
      <w:r>
        <w:rPr>
          <w:rFonts w:hint="eastAsia" w:ascii="宋体" w:hAnsi="宋体" w:cs="宋体"/>
          <w:sz w:val="24"/>
          <w:szCs w:val="24"/>
          <w:highlight w:val="red"/>
          <w:lang w:val="en-US" w:eastAsia="zh-CN"/>
        </w:rPr>
        <w:t>项目</w:t>
      </w:r>
      <w:r>
        <w:rPr>
          <w:rFonts w:hint="eastAsia" w:ascii="宋体" w:hAnsi="宋体" w:eastAsia="宋体" w:cs="宋体"/>
          <w:sz w:val="24"/>
          <w:szCs w:val="24"/>
        </w:rPr>
        <w:t>有安全检查的通知后， 维保人员检查设备运行情况，确保电梯设备稳定运行。对业主管理方要求的如紧急救援、消防迫降、消防演习等工作活动，及早派人配合操作。</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24"/>
        </w:rPr>
      </w:pPr>
      <w:r>
        <w:rPr>
          <w:rFonts w:hint="eastAsia" w:ascii="宋体" w:hAnsi="宋体" w:eastAsia="宋体" w:cs="宋体"/>
          <w:sz w:val="24"/>
          <w:szCs w:val="24"/>
        </w:rPr>
        <w:t>6、维保人员做到文明用语、统一着装、文明施工、安全作业， 电梯维修保养成交供应商服务人员必须具有特种作业人员证书，其人身安全一切责任由成交供应商负责。</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24"/>
          <w:lang w:eastAsia="zh-CN"/>
        </w:rPr>
        <w:sectPr>
          <w:footerReference r:id="rId3" w:type="default"/>
          <w:pgSz w:w="11910" w:h="16845"/>
          <w:pgMar w:top="1185" w:right="1098" w:bottom="1040" w:left="1066" w:header="0" w:footer="863" w:gutter="0"/>
          <w:cols w:space="720" w:num="1"/>
        </w:sectPr>
      </w:pPr>
      <w:r>
        <w:rPr>
          <w:rFonts w:hint="eastAsia" w:ascii="宋体" w:hAnsi="宋体" w:eastAsia="宋体" w:cs="宋体"/>
          <w:sz w:val="24"/>
          <w:szCs w:val="24"/>
        </w:rPr>
        <w:t>7、在合同期内保障电梯正常运行所产生的维修保养费用由供应商一次性报价， 包括维保公司完成本项目服务工作期间所需要的人工、配件、材料、交通、差旅、保险、利 润、税金、房屋租金、办公设备、政策性文件规定及合同包含的所有风险、责任等各项应有费用。在维保期内设施设备完好率保证 98%以上。所需的主要维修配件必须是设备的原厂家生产相关配件，如有违反，将根据情节轻重程度给予相应合同总价的 3%-5%罚款处罚。最终报价为一次性包死价，后期不作调整</w:t>
      </w:r>
      <w:r>
        <w:rPr>
          <w:rFonts w:hint="eastAsia" w:ascii="宋体" w:hAnsi="宋体" w:cs="宋体"/>
          <w:sz w:val="24"/>
          <w:szCs w:val="24"/>
          <w:lang w:eastAsia="zh-CN"/>
        </w:rPr>
        <w:t>。</w:t>
      </w:r>
    </w:p>
    <w:p>
      <w:pPr>
        <w:keepNext w:val="0"/>
        <w:keepLines w:val="0"/>
        <w:pageBreakBefore w:val="0"/>
        <w:widowControl w:val="0"/>
        <w:kinsoku/>
        <w:wordWrap/>
        <w:overflowPunct/>
        <w:topLinePunct w:val="0"/>
        <w:autoSpaceDE/>
        <w:autoSpaceDN/>
        <w:bidi w:val="0"/>
        <w:adjustRightInd/>
        <w:snapToGrid/>
        <w:spacing w:line="720" w:lineRule="exact"/>
        <w:textAlignment w:val="auto"/>
        <w:rPr>
          <w:rFonts w:hint="default"/>
          <w:color w:val="auto"/>
          <w:szCs w:val="21"/>
          <w:highlight w:val="none"/>
          <w:lang w:val="en-US" w:eastAsia="zh-CN"/>
        </w:rPr>
      </w:pPr>
      <w:bookmarkStart w:id="0" w:name="_GoBack"/>
      <w:bookmarkEnd w:id="0"/>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70" w:lineRule="auto"/>
      <w:ind w:left="4801"/>
      <w:rPr>
        <w:rFonts w:ascii="宋体" w:hAnsi="宋体" w:eastAsia="宋体" w:cs="宋体"/>
        <w:sz w:val="18"/>
        <w:szCs w:val="18"/>
      </w:rPr>
    </w:pPr>
    <w:r>
      <w:rPr>
        <w:rFonts w:ascii="宋体" w:hAnsi="宋体" w:eastAsia="宋体" w:cs="宋体"/>
        <w:spacing w:val="-3"/>
        <w:sz w:val="18"/>
        <w:szCs w:val="18"/>
      </w:rPr>
      <w:t>33</w: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WI5N2ZjZjk3YzI3YzM4Y2ZkYzYzYmE5OTZjMTU3ODcifQ=="/>
  </w:docVars>
  <w:rsids>
    <w:rsidRoot w:val="00000000"/>
    <w:rsid w:val="23FD226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Calibri" w:hAnsi="Calibri" w:eastAsia="宋体" w:cs="Times New Roman"/>
      <w:kern w:val="2"/>
      <w:sz w:val="21"/>
      <w:szCs w:val="24"/>
      <w:lang w:val="en-US" w:eastAsia="zh-CN" w:bidi="ar-SA"/>
    </w:rPr>
  </w:style>
  <w:style w:type="paragraph" w:styleId="2">
    <w:name w:val="heading 3"/>
    <w:basedOn w:val="1"/>
    <w:next w:val="1"/>
    <w:qFormat/>
    <w:uiPriority w:val="0"/>
    <w:pPr>
      <w:keepNext/>
      <w:keepLines/>
      <w:spacing w:before="40" w:after="40" w:line="500" w:lineRule="exact"/>
      <w:ind w:firstLine="49" w:firstLineChars="49"/>
      <w:jc w:val="center"/>
      <w:outlineLvl w:val="2"/>
    </w:pPr>
    <w:rPr>
      <w:rFonts w:ascii="宋体" w:hAnsi="宋体" w:eastAsia="宋体" w:cs="宋体"/>
      <w:b/>
      <w:bCs/>
      <w:kern w:val="0"/>
      <w:sz w:val="30"/>
      <w:szCs w:val="30"/>
    </w:rPr>
  </w:style>
  <w:style w:type="character" w:default="1" w:styleId="5">
    <w:name w:val="Default Paragraph Font"/>
    <w:autoRedefine/>
    <w:semiHidden/>
    <w:qFormat/>
    <w:uiPriority w:val="0"/>
  </w:style>
  <w:style w:type="table" w:default="1" w:styleId="3">
    <w:name w:val="Normal Table"/>
    <w:semiHidden/>
    <w:uiPriority w:val="0"/>
    <w:tblPr>
      <w:tblCellMar>
        <w:top w:w="0" w:type="dxa"/>
        <w:left w:w="108" w:type="dxa"/>
        <w:bottom w:w="0" w:type="dxa"/>
        <w:right w:w="108" w:type="dxa"/>
      </w:tblCellMar>
    </w:tblPr>
  </w:style>
  <w:style w:type="table" w:styleId="4">
    <w:name w:val="Table Grid"/>
    <w:basedOn w:val="3"/>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6">
    <w:name w:val="Hyperlink"/>
    <w:basedOn w:val="5"/>
    <w:qFormat/>
    <w:uiPriority w:val="0"/>
    <w:rPr>
      <w:color w:val="0000FF"/>
      <w:u w:val="non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Office_12.1.0.16417_F1E327BC-269C-435d-A152-05C5408002CA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2024-04-02T09:43:32Z</dcterms:created>
  <dc:creator>Administrator</dc:creator>
  <cp:lastModifiedBy>WPS_1701397966</cp:lastModifiedBy>
  <dcterms:modified xsi:type="dcterms:W3CDTF">2024-04-02T09:44:21Z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2052-12.1.0.16417</vt:lpwstr>
  </property>
  <property fmtid="{D5CDD505-2E9C-101B-9397-08002B2CF9AE}" pid="3" name="ICV">
    <vt:lpwstr>AE5E8C0806054963A7156295FD209CC2_12</vt:lpwstr>
  </property>
</Properties>
</file>